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1134"/>
        <w:gridCol w:w="1134"/>
        <w:gridCol w:w="1134"/>
        <w:gridCol w:w="1984"/>
        <w:gridCol w:w="4536"/>
        <w:tblGridChange w:id="0">
          <w:tblGrid>
            <w:gridCol w:w="4928"/>
            <w:gridCol w:w="1134"/>
            <w:gridCol w:w="1134"/>
            <w:gridCol w:w="1134"/>
            <w:gridCol w:w="1984"/>
            <w:gridCol w:w="4536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32"/>
                <w:szCs w:val="32"/>
                <w:rtl w:val="0"/>
              </w:rPr>
              <w:t xml:space="preserve">Open, Transparent and Merit-based Recruitment Check-list</w:t>
            </w:r>
            <w:r w:rsidDel="00000000" w:rsidR="00000000" w:rsidRPr="00000000">
              <w:rPr>
                <w:b w:val="1"/>
                <w:bCs w:val="1"/>
                <w:color w:val="0070c0"/>
                <w:sz w:val="32"/>
                <w:szCs w:val="3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i w:val="1"/>
                <w:i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OTM-R checklist for organisations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Trans-parent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Merit-based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Answer: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++ Yes, c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ompletely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+/-Yes, substantially 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-/+ Yes, partially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--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Suggested indicators (or form of measurement)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OTM-R system 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6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1. Have we published a version of our OTM-R policy online (in the national language and in English)?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HR Excellence in Research @ UHasselt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HR Excellence in Research @ UHasselt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The OTM-R policy is published on the external website (both in Dutch and English)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2. Do we have an internal guide setting out clear OTM-R procedures and practices for all types of positions?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Specific regulations concerning recruitment and selection are specified in the academic structure regulations and the independent academic staff status regulations. These regulations include a number of principles concerning gender balance.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Structure and quality control via the automated selection report</w:t>
            </w:r>
          </w:p>
          <w:p w:rsidR="00000000" w:rsidDel="00000000" w:rsidP="00000000" w:rsidRDefault="00000000" w:rsidRPr="00000000" w14:paraId="00000027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On the intranet there is a toolkit available to support hiring managers and to achieve an objective recruitment and selection.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3. Is everyone involved in the process sufficiently trained in the area of OTM-R?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The objective recruitment &amp; selection training is structurally embedded in the UHasselt training offer (2 times per year). Selection committee members can develop their skills this way.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There is a permanent education possibility through the GoodHabitz online learning platform.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The information on the intranet about objective recruitment and selection is communicated to every participant of the training.</w:t>
            </w:r>
          </w:p>
          <w:p w:rsidR="00000000" w:rsidDel="00000000" w:rsidP="00000000" w:rsidRDefault="00000000" w:rsidRPr="00000000" w14:paraId="0000003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One weakness remains that the training is not compulsory.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4. Do we make (sufficient) use of e-recruitment tools?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The use of e-recruitment tools has increased and further professionalised.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Academic Positions, Euraxess, LinkedIn, own personal and professional network, use of specialised websites depending on content and target group, faculties can make suggestions about this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5. Do we have a quality control system for OTM-R in place?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Constant monitoring by HR dedicated recruitment &amp; selection team as quality control system. The expertise within the team has expanded and is maintained by regular training.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Vacancy management, selection report, continuous control by government commissioner.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6. Does our current OTM-R policy encourage external candidates to apply?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+/-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HR analytics report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Trend in the share of applicants from outside the organisation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7. Is our current OTM-R policy in line with policies to attract researchers from abroad?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+/-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Trend in the share of applicants from abroad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8. Is our current OTM-R policy in line with policies to attract underrepresented groups?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+/-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Trend in the share of applicants among underrepresented groups (frequently women) 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Diversity statement with publication of every vacancy.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Drafting and checking vacancy texts in the context of diversity and inclusion by the dedicated recruitment and selection team.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Provide training for faculty directors and school managers on objective recruitment and selection to support diversity and inclusion.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Objective recruitment &amp; selection tips and information on the intranet, to support diversity and inclusion.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9. Is our current OTM-R policy in line with policies to provide attractive working conditions for researchers?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Trend in the share of applicants from outside the organisation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10. Do we have means to monitor whether the most suitable researchers apply?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-/+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Number of dismissals is very low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Advertising and application phase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7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11. Do we have clear guidelines or templates (e.g., EURAXESS) for advertising positions?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Yes (see database)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12. Do we include in the job advertisement references/links to all the elements foreseen in the relevant section of the toolkit? 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see Chapter 4.4.1 a) of the OTM-R expert report</w:t>
            </w:r>
            <w:r w:rsidDel="00000000" w:rsidR="00000000" w:rsidRPr="00000000">
              <w:rPr>
                <w:i w:val="1"/>
                <w:iCs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Most elements are included.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Researcher career profile R1 – R4 has to be implemented within database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13. Do we make full use of EURAXESS to ensure our research vacancies reach a wider audience?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- The share of job adverts posted on EURAXESS;</w:t>
              <w:br w:type="textWrapping"/>
              <w:t xml:space="preserve">- Trend in the share of applicants recruited from outside the organisation/abroad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14. Do we make use of other job advertising tools?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Academic positions, University jobpage, Linkedin, specific channels on demand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15. Do we keep the administrative burden to a minimum for the candidate? 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see Chapter 4.4.1 b)</w:t>
            </w:r>
            <w:r w:rsidDel="00000000" w:rsidR="00000000" w:rsidRPr="00000000">
              <w:rPr>
                <w:vertAlign w:val="superscript"/>
                <w:rtl w:val="0"/>
              </w:rPr>
              <w:t xml:space="preserve"> 45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Renewed jobwebsite with reduced administrative burden. Only essential information is requested to apply.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Selection and evaluation phase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16. Do we have clear rules governing the appointment of selection committees? 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see Chapter 4.4.2 a)</w:t>
            </w:r>
            <w:r w:rsidDel="00000000" w:rsidR="00000000" w:rsidRPr="00000000">
              <w:rPr>
                <w:vertAlign w:val="superscript"/>
                <w:rtl w:val="0"/>
              </w:rPr>
              <w:t xml:space="preserve"> 45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Described in the regulations “Academic structure”, control by HR Department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17. Do we have clear rules concerning the composition of selection committees?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Described in the regulations “Academic structure”, control by HR Department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18. Are the committees sufficiently gender-balanced?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++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Maximum 2/3 of same gender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19. Do we have clear guidelines for selection committees which help to judge ‘merit’ in a way that leads to the best candidate being selected?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Selection report is helpful, training members selection committee on the topic objective recruitment &amp; selection.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Appointment phase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20. Do we inform all applicants at the end of the selection process?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21. Do we provide adequate feedback to interviewees?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Contact person is mentioned for every vacancy. Feedback can be requested via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jobs@uhasselt.be</w:t>
              </w:r>
            </w:hyperlink>
            <w:r w:rsidDel="00000000" w:rsidR="00000000" w:rsidRPr="00000000">
              <w:rPr>
                <w:rtl w:val="0"/>
              </w:rPr>
              <w:t xml:space="preserve"> and is dispatched by the recruitment &amp; selection team.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22. Do we have an appropriate complaints mechanism in place?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++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 statistics about complaints, but fixed contact per vacancy and staff office. Complaints can be addressed via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jobs@uhasselt.be</w:t>
              </w:r>
            </w:hyperlink>
            <w:r w:rsidDel="00000000" w:rsidR="00000000" w:rsidRPr="00000000">
              <w:rPr>
                <w:rtl w:val="0"/>
              </w:rPr>
              <w:t xml:space="preserve"> and are followed up by the dedicated recruitment &amp; selection team.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Overall assessment 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23. Do we have a system in place to assess whether OTM-R delivers on its objectives?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+/-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HR checks vacancies and memos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Budgets are checked. Selection flow is fixed and controlled throughout the entire process</w:t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http://ec.europa.eu/euraxess/index.cfm/services/researchPolicies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http://ec.europa.eu/euraxess/index.cfm/services/researchPolicies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25768" cy="73750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5768" cy="737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ab/>
      <w:tab/>
      <w:t xml:space="preserve">updated version 2026</w:t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7E2052"/>
    <w:pPr>
      <w:spacing w:after="200" w:line="276" w:lineRule="auto"/>
    </w:pPr>
    <w:rPr>
      <w:rFonts w:ascii="Calibri" w:cs="Times New Roman" w:eastAsia="Calibri" w:hAnsi="Calibri"/>
      <w:lang w:eastAsia="en-GB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noteText">
    <w:name w:val="footnote text"/>
    <w:aliases w:val="Footnote Text Char1,Schriftart: 9 pt,Schriftart: 10 pt,Schriftart: 8 pt,WB-Fußnotentext,Reference,Fußnote,fn,Footnote Text Char2,Footnote Text Char Char1,Footnote Text Char1 Char Char,Footnote Text Char Char Char Char,Ch"/>
    <w:basedOn w:val="Normal"/>
    <w:link w:val="FootnoteTextChar"/>
    <w:uiPriority w:val="99"/>
    <w:qFormat w:val="1"/>
    <w:rsid w:val="007E2052"/>
    <w:pPr>
      <w:spacing w:after="100" w:afterAutospacing="1" w:before="100" w:beforeAutospacing="1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</w:rPr>
  </w:style>
  <w:style w:type="character" w:styleId="FootnoteTextChar" w:customStyle="1">
    <w:name w:val="Footnote Text Char"/>
    <w:aliases w:val="Footnote Text Char1 Char,Schriftart: 9 pt Char,Schriftart: 10 pt Char,Schriftart: 8 pt Char,WB-Fußnotentext Char,Reference Char,Fußnote Char,fn Char,Footnote Text Char2 Char,Footnote Text Char Char1 Char,Ch Char"/>
    <w:basedOn w:val="DefaultParagraphFont"/>
    <w:link w:val="FootnoteText"/>
    <w:uiPriority w:val="99"/>
    <w:rsid w:val="007E2052"/>
    <w:rPr>
      <w:rFonts w:ascii="Times New Roman" w:cs="Times New Roman" w:eastAsia="Times New Roman" w:hAnsi="Times New Roman"/>
      <w:sz w:val="20"/>
      <w:szCs w:val="20"/>
      <w:lang w:eastAsia="en-GB" w:val="en-GB"/>
    </w:rPr>
  </w:style>
  <w:style w:type="character" w:styleId="Hyperlink">
    <w:name w:val="Hyperlink"/>
    <w:uiPriority w:val="99"/>
    <w:rsid w:val="007E2052"/>
    <w:rPr>
      <w:color w:val="0000ff"/>
      <w:u w:val="single"/>
      <w:lang w:eastAsia="en-GB" w:val="en-GB"/>
    </w:rPr>
  </w:style>
  <w:style w:type="character" w:styleId="FootnoteReference">
    <w:name w:val="footnote reference"/>
    <w:uiPriority w:val="99"/>
    <w:rsid w:val="007E2052"/>
    <w:rPr>
      <w:vertAlign w:val="superscript"/>
      <w:lang w:eastAsia="en-GB" w:val="en-GB"/>
    </w:rPr>
  </w:style>
  <w:style w:type="paragraph" w:styleId="Header">
    <w:name w:val="header"/>
    <w:basedOn w:val="Normal"/>
    <w:link w:val="HeaderChar"/>
    <w:uiPriority w:val="99"/>
    <w:unhideWhenUsed w:val="1"/>
    <w:rsid w:val="007E205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052"/>
    <w:rPr>
      <w:rFonts w:ascii="Calibri" w:cs="Times New Roman" w:eastAsia="Calibri" w:hAnsi="Calibri"/>
      <w:lang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7E205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052"/>
    <w:rPr>
      <w:rFonts w:ascii="Calibri" w:cs="Times New Roman" w:eastAsia="Calibri" w:hAnsi="Calibri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mailto:jobs@uhasselt.be" TargetMode="External"/><Relationship Id="rId10" Type="http://schemas.openxmlformats.org/officeDocument/2006/relationships/hyperlink" Target="mailto:jobs@uhasselt.be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uhasselt.be/en/about-hasselt-university/working-at-hasselt-university/hr-excellence-in-research-uhassel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uhasselt.be/nl/over-uhasselt/werken-bij-uhasselt/hr-excellence-in-research-uhasselt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ec.europa.eu/euraxess/index.cfm/services/researchPolicies" TargetMode="External"/><Relationship Id="rId2" Type="http://schemas.openxmlformats.org/officeDocument/2006/relationships/hyperlink" Target="http://ec.europa.eu/euraxess/index.cfm/services/researchPolici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YNi0zRFoR4AZr8tB7PIKEMcgA==">CgMxLjA4AHIhMTFQaHpGRk9KNUpnYU5mQzBib3NiLVQyNVpIanN0b3Fr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2022-11-30T11:23:00Z</dcterms:created>
  <dc:creator>DEVOS Cathy</dc:creator>
</cp:coreProperties>
</file>